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1298448" cy="284036"/>
            <wp:docPr id="1" name="Picture 1"/>
            <wp:cNvGraphicFramePr>
              <a:graphicFrameLocks noChangeAspect="1"/>
            </wp:cNvGraphicFramePr>
            <a:graphic>
              <a:graphicData uri="http://schemas.openxmlformats.org/drawingml/2006/picture">
                <pic:pic>
                  <pic:nvPicPr>
                    <pic:cNvPr id="0" name="edamame-logo.png"/>
                    <pic:cNvPicPr/>
                  </pic:nvPicPr>
                  <pic:blipFill>
                    <a:blip r:embed="rId9"/>
                    <a:stretch>
                      <a:fillRect/>
                    </a:stretch>
                  </pic:blipFill>
                  <pic:spPr>
                    <a:xfrm>
                      <a:off x="0" y="0"/>
                      <a:ext cx="1298448" cy="284036"/>
                    </a:xfrm>
                    <a:prstGeom prst="rect"/>
                  </pic:spPr>
                </pic:pic>
              </a:graphicData>
            </a:graphic>
          </wp:inline>
        </w:drawing>
      </w:r>
    </w:p>
    <w:p>
      <w:pPr>
        <w:spacing w:before="0" w:after="40" w:line="245" w:lineRule="auto"/>
      </w:pPr>
      <w:r>
        <w:rPr>
          <w:rFonts w:ascii="Roboto Mono" w:hAnsi="Roboto Mono" w:eastAsia="Roboto Mono"/>
          <w:b/>
          <w:i w:val="0"/>
          <w:color w:val="1F1F1F"/>
          <w:sz w:val="37"/>
        </w:rPr>
        <w:t>Runtime Security for Coding Agents</w:t>
      </w:r>
    </w:p>
    <w:p>
      <w:pPr>
        <w:spacing w:before="0" w:after="20" w:line="245" w:lineRule="auto"/>
      </w:pPr>
      <w:r>
        <w:rPr>
          <w:rFonts w:ascii="Roboto" w:hAnsi="Roboto" w:eastAsia="Roboto"/>
          <w:b/>
          <w:i w:val="0"/>
          <w:color w:val="1F1F1F"/>
          <w:sz w:val="16"/>
        </w:rPr>
        <w:t>Technical brief — EDAMAME · PR-2026-002 · 2026-05-26</w:t>
      </w:r>
    </w:p>
    <w:p>
      <w:pPr>
        <w:spacing w:before="0" w:after="20" w:line="245" w:lineRule="auto"/>
      </w:pPr>
      <w:r>
        <w:rPr>
          <w:rFonts w:ascii="Roboto" w:hAnsi="Roboto" w:eastAsia="Roboto"/>
          <w:b/>
          <w:i w:val="0"/>
          <w:color w:val="525966"/>
          <w:sz w:val="16"/>
        </w:rPr>
        <w:t>A path to securing Cursor, Claude Desktop, Claude Code, Codex, and OpenClaw: discover unmanaged agent footprints, anchor the host, verify divergence, and detect runtime vulnerabilities.</w:t>
      </w:r>
    </w:p>
    <w:p>
      <w:pPr>
        <w:spacing w:before="0" w:after="20" w:line="245" w:lineRule="auto"/>
      </w:pPr>
      <w:r>
        <w:rPr>
          <w:rFonts w:ascii="Roboto" w:hAnsi="Roboto" w:eastAsia="Roboto"/>
          <w:b w:val="0"/>
          <w:i/>
          <w:color w:val="525966"/>
          <w:sz w:val="15"/>
        </w:rPr>
        <w:t>Frank Lyonnet, PhD — founder &amp; CEO, edamame.tech (former INRIA researcher) · Minh Anh — founding engineer, edamame.tech (Stanford CS)</w:t>
      </w:r>
    </w:p>
    <w:p>
      <w:pPr>
        <w:spacing w:after="120"/>
        <w:pBdr>
          <w:bottom w:val="single" w:sz="8" w:space="1" w:color="1F1F1F"/>
        </w:pBdr>
      </w:pPr>
    </w:p>
    <w:p>
      <w:pPr>
        <w:keepNext/>
        <w:spacing w:before="100" w:after="50" w:line="245" w:lineRule="auto"/>
      </w:pPr>
      <w:r>
        <w:rPr>
          <w:rFonts w:ascii="Roboto Mono" w:hAnsi="Roboto Mono" w:eastAsia="Roboto Mono"/>
          <w:b/>
          <w:i w:val="0"/>
          <w:color w:val="1F1F1F"/>
          <w:sz w:val="31"/>
        </w:rPr>
        <w:t>1 · Executive summary</w:t>
      </w:r>
    </w:p>
    <w:p>
      <w:pPr>
        <w:spacing w:before="0" w:after="40" w:line="245" w:lineRule="auto"/>
      </w:pPr>
      <w:r>
        <w:rPr>
          <w:rFonts w:ascii="Roboto" w:hAnsi="Roboto" w:eastAsia="Roboto"/>
          <w:b w:val="0"/>
          <w:i w:val="0"/>
          <w:color w:val="1F1F1F"/>
          <w:sz w:val="15"/>
        </w:rPr>
        <w:t>Coding agents are becoming part of everyday software delivery. They read code, run shell commands, access tokens, install packages, and interact with external services. Workstations, runners, and self-hosted coding hosts now deserve the same serious security treatment as classical CI/CD choke points.</w:t>
      </w:r>
    </w:p>
    <w:p>
      <w:pPr>
        <w:spacing w:before="0" w:after="40" w:line="245" w:lineRule="auto"/>
      </w:pPr>
      <w:r>
        <w:rPr>
          <w:rFonts w:ascii="Roboto" w:hAnsi="Roboto" w:eastAsia="Roboto"/>
          <w:b w:val="0"/>
          <w:i w:val="0"/>
          <w:color w:val="1F1F1F"/>
          <w:sz w:val="15"/>
        </w:rPr>
        <w:t>Hardening stays the precondition, and runtime verification closes the gap by aligning declared coding-agent intent with host-observable behavior: process ancestry, filesystem and network telemetry, posture drift, and agent-native cues captured on-device. Vulnerability detection runs CVE-aligned checks on the same live telemetry, looking for credential harvest, token exfiltration, sandbox exploitation, and supply-chain behavior that static setup cannot see.</w:t>
      </w:r>
    </w:p>
    <w:p>
      <w:pPr>
        <w:jc w:val="center"/>
      </w:pPr>
      <w:r>
        <w:drawing>
          <wp:inline xmlns:a="http://schemas.openxmlformats.org/drawingml/2006/main" xmlns:pic="http://schemas.openxmlformats.org/drawingml/2006/picture">
            <wp:extent cx="5440680" cy="3400425"/>
            <wp:docPr id="2" name="Picture 2"/>
            <wp:cNvGraphicFramePr>
              <a:graphicFrameLocks noChangeAspect="1"/>
            </wp:cNvGraphicFramePr>
            <a:graphic>
              <a:graphicData uri="http://schemas.openxmlformats.org/drawingml/2006/picture">
                <pic:pic>
                  <pic:nvPicPr>
                    <pic:cNvPr id="0" name="EDAMAME-agents-wp-divergence-monitor.png"/>
                    <pic:cNvPicPr/>
                  </pic:nvPicPr>
                  <pic:blipFill>
                    <a:blip r:embed="rId10"/>
                    <a:stretch>
                      <a:fillRect/>
                    </a:stretch>
                  </pic:blipFill>
                  <pic:spPr>
                    <a:xfrm>
                      <a:off x="0" y="0"/>
                      <a:ext cx="5440680" cy="3400425"/>
                    </a:xfrm>
                    <a:prstGeom prst="rect"/>
                  </pic:spPr>
                </pic:pic>
              </a:graphicData>
            </a:graphic>
          </wp:inline>
        </w:drawing>
      </w:r>
    </w:p>
    <w:p>
      <w:pPr>
        <w:spacing w:before="0" w:after="20" w:line="245" w:lineRule="auto"/>
        <w:jc w:val="center"/>
      </w:pPr>
      <w:r>
        <w:rPr>
          <w:rFonts w:ascii="Roboto" w:hAnsi="Roboto" w:eastAsia="Roboto"/>
          <w:b w:val="0"/>
          <w:i/>
          <w:color w:val="525966"/>
          <w:sz w:val="13"/>
        </w:rPr>
        <w:t>Figure 1 — EDAMAME Divergence Monitor from the public agent-security white paper.</w:t>
      </w:r>
    </w:p>
    <w:p>
      <w:pPr>
        <w:keepNext/>
        <w:spacing w:before="100" w:after="50" w:line="245" w:lineRule="auto"/>
      </w:pPr>
      <w:r>
        <w:rPr>
          <w:rFonts w:ascii="Roboto Mono" w:hAnsi="Roboto Mono" w:eastAsia="Roboto Mono"/>
          <w:b/>
          <w:i w:val="0"/>
          <w:color w:val="1F1F1F"/>
          <w:sz w:val="31"/>
        </w:rPr>
        <w:t>2 · The coding-agent risk landscape</w:t>
      </w:r>
    </w:p>
    <w:p>
      <w:pPr>
        <w:spacing w:before="0" w:after="20" w:line="245" w:lineRule="auto"/>
      </w:pPr>
      <w:r>
        <w:rPr>
          <w:rFonts w:ascii="Roboto" w:hAnsi="Roboto" w:eastAsia="Roboto"/>
          <w:b w:val="0"/>
          <w:i w:val="0"/>
          <w:color w:val="1F1F1F"/>
          <w:sz w:val="15"/>
        </w:rPr>
        <w:t>Modern agent workflows collapse several sensitive capabilities into one loop: read repositories, call tools, modify files, use network access, install packages, and touch credentials.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Hidden instructions: </w:t>
      </w:r>
      <w:r>
        <w:rPr>
          <w:rFonts w:ascii="Roboto" w:hAnsi="Roboto" w:eastAsia="Roboto"/>
          <w:b w:val="0"/>
          <w:i w:val="0"/>
          <w:color w:val="1F1F1F"/>
          <w:sz w:val="15"/>
        </w:rPr>
        <w:t>issues, docs, or chat can change future tool calls.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Tool and dependency poisoning: </w:t>
      </w:r>
      <w:r>
        <w:rPr>
          <w:rFonts w:ascii="Roboto" w:hAnsi="Roboto" w:eastAsia="Roboto"/>
          <w:b w:val="0"/>
          <w:i w:val="0"/>
          <w:color w:val="1F1F1F"/>
          <w:sz w:val="15"/>
        </w:rPr>
        <w:t>malicious plugins, MCP servers, or packages can reshape agent behavior.</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Credential exposure: </w:t>
      </w:r>
      <w:r>
        <w:rPr>
          <w:rFonts w:ascii="Roboto" w:hAnsi="Roboto" w:eastAsia="Roboto"/>
          <w:b w:val="0"/>
          <w:i w:val="0"/>
          <w:color w:val="1F1F1F"/>
          <w:sz w:val="15"/>
        </w:rPr>
        <w:t>tokens, SSH keys, CI secrets, source code, or wallet material can be touched by a valid local process.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Posture drift: </w:t>
      </w:r>
      <w:r>
        <w:rPr>
          <w:rFonts w:ascii="Roboto" w:hAnsi="Roboto" w:eastAsia="Roboto"/>
          <w:b w:val="0"/>
          <w:i w:val="0"/>
          <w:color w:val="1F1F1F"/>
          <w:sz w:val="15"/>
        </w:rPr>
        <w:t>the host can change while the agent keeps working.</w:t>
      </w:r>
    </w:p>
    <w:p>
      <w:r>
        <w:br w:type="page"/>
      </w:r>
    </w:p>
    <w:p>
      <w:pPr>
        <w:keepNext/>
        <w:spacing w:before="100" w:after="50" w:line="245" w:lineRule="auto"/>
      </w:pPr>
      <w:r>
        <w:rPr>
          <w:rFonts w:ascii="Roboto Mono" w:hAnsi="Roboto Mono" w:eastAsia="Roboto Mono"/>
          <w:b/>
          <w:i w:val="0"/>
          <w:color w:val="1F1F1F"/>
          <w:sz w:val="31"/>
        </w:rPr>
        <w:t>3 · Why traditional controls fall short</w:t>
      </w:r>
    </w:p>
    <w:tbl>
      <w:tblPr>
        <w:tblW w:type="auto" w:w="0"/>
        <w:jc w:val="center"/>
        <w:tblLayout w:type="autofit"/>
        <w:tblLook w:firstColumn="1" w:firstRow="1" w:lastColumn="0" w:lastRow="0" w:noHBand="0" w:noVBand="1" w:val="04A0"/>
      </w:tblPr>
      <w:tblGrid>
        <w:gridCol w:w="5205"/>
        <w:gridCol w:w="5205"/>
      </w:tblGrid>
      <w:tr>
        <w:tc>
          <w:tcPr>
            <w:tcW w:type="dxa" w:w="288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Control</w:t>
            </w:r>
          </w:p>
        </w:tc>
        <w:tc>
          <w:tcPr>
            <w:tcW w:type="dxa" w:w="691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Runtime gap</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Supply-chain and setup controls</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Signed artifacts, dependency review, sandbox posture, guarded tool integrations, and conservative tool scopes reduce accidental exposure before the agent loop runs fast. They do not prove that observed behavior still matches the declared task.</w:t>
            </w:r>
          </w:p>
        </w:tc>
      </w:tr>
      <w:tr>
        <w:tc>
          <w:tcPr>
            <w:tcW w:type="dxa" w:w="288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Identity and login-time trust</w:t>
            </w:r>
          </w:p>
        </w:tc>
        <w:tc>
          <w:tcPr>
            <w:tcW w:type="dxa" w:w="691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Identity systems authenticate the user and establish a trusted session. The weakness is persistence: a workstation or server can change after login while tokens, SSH keys, and approved tooling remain usable.</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Sandboxes, tool scopes, perimeter controls</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Narrow scopes reduce blast radius. Network controls can tell that traffic exists; they usually cannot tell whether it matches the agent task or came from a trusted agent process on a still-compliant host.</w:t>
            </w:r>
          </w:p>
        </w:tc>
      </w:tr>
    </w:tbl>
    <w:p>
      <w:pPr>
        <w:spacing w:after="0"/>
      </w:pPr>
    </w:p>
    <w:p>
      <w:pPr>
        <w:keepNext/>
        <w:spacing w:before="100" w:after="50" w:line="245" w:lineRule="auto"/>
      </w:pPr>
      <w:r>
        <w:rPr>
          <w:rFonts w:ascii="Roboto Mono" w:hAnsi="Roboto Mono" w:eastAsia="Roboto Mono"/>
          <w:b/>
          <w:i w:val="0"/>
          <w:color w:val="1F1F1F"/>
          <w:sz w:val="31"/>
        </w:rPr>
        <w:t>4 · The runtime security gap</w:t>
      </w:r>
    </w:p>
    <w:p>
      <w:pPr>
        <w:spacing w:before="0" w:after="20" w:line="245" w:lineRule="auto"/>
      </w:pPr>
      <w:r>
        <w:rPr>
          <w:rFonts w:ascii="Roboto" w:hAnsi="Roboto" w:eastAsia="Roboto"/>
          <w:b w:val="0"/>
          <w:i w:val="0"/>
          <w:color w:val="1F1F1F"/>
          <w:sz w:val="15"/>
        </w:rPr>
        <w:t>The divergence gap appears once baseline protections are already in place: the workstation may remain patched and permissions may stay scoped, yet observable behavior during a session can peel away from the declared task.</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Read-only task, outbound activity: </w:t>
      </w:r>
      <w:r>
        <w:rPr>
          <w:rFonts w:ascii="Roboto" w:hAnsi="Roboto" w:eastAsia="Roboto"/>
          <w:b w:val="0"/>
          <w:i w:val="0"/>
          <w:color w:val="1F1F1F"/>
          <w:sz w:val="15"/>
        </w:rPr>
        <w:t>the process tree starts making undeclared external connections.</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Small file edit, posture change: </w:t>
      </w:r>
      <w:r>
        <w:rPr>
          <w:rFonts w:ascii="Roboto" w:hAnsi="Roboto" w:eastAsia="Roboto"/>
          <w:b w:val="0"/>
          <w:i w:val="0"/>
          <w:color w:val="1F1F1F"/>
          <w:sz w:val="15"/>
        </w:rPr>
        <w:t>the agent claims to edit one file while host posture changes at the same time.</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Tool drift: </w:t>
      </w:r>
      <w:r>
        <w:rPr>
          <w:rFonts w:ascii="Roboto" w:hAnsi="Roboto" w:eastAsia="Roboto"/>
          <w:b w:val="0"/>
          <w:i w:val="0"/>
          <w:color w:val="1F1F1F"/>
          <w:sz w:val="15"/>
        </w:rPr>
        <w:t>a plugin or tool introduces behavior that was not part of the original intent.</w:t>
      </w:r>
    </w:p>
    <w:p>
      <w:pPr>
        <w:spacing w:after="20" w:line="240" w:lineRule="auto"/>
        <w:ind w:left="245" w:hanging="187"/>
      </w:pPr>
      <w:r>
        <w:rPr>
          <w:rFonts w:ascii="Roboto" w:hAnsi="Roboto" w:eastAsia="Roboto"/>
          <w:b/>
          <w:i w:val="0"/>
          <w:color w:val="6B9612"/>
          <w:sz w:val="15"/>
        </w:rPr>
        <w:t xml:space="preserve">• </w:t>
      </w:r>
      <w:r>
        <w:rPr>
          <w:rFonts w:ascii="Roboto" w:hAnsi="Roboto" w:eastAsia="Roboto"/>
          <w:b/>
          <w:i w:val="0"/>
          <w:color w:val="1F1F1F"/>
          <w:sz w:val="15"/>
        </w:rPr>
        <w:t xml:space="preserve">Compliance drift: </w:t>
      </w:r>
      <w:r>
        <w:rPr>
          <w:rFonts w:ascii="Roboto" w:hAnsi="Roboto" w:eastAsia="Roboto"/>
          <w:b w:val="0"/>
          <w:i w:val="0"/>
          <w:color w:val="1F1F1F"/>
          <w:sz w:val="15"/>
        </w:rPr>
        <w:t>a workstation or runner loses compliance while the agent keeps operating.</w:t>
      </w:r>
    </w:p>
    <w:p>
      <w:pPr>
        <w:spacing w:before="0" w:after="60" w:line="245" w:lineRule="auto"/>
      </w:pPr>
      <w:r>
        <w:rPr>
          <w:rFonts w:ascii="Roboto" w:hAnsi="Roboto" w:eastAsia="Roboto"/>
          <w:b/>
          <w:i w:val="0"/>
          <w:color w:val="1F1F1F"/>
          <w:sz w:val="15"/>
        </w:rPr>
        <w:t>Claim boundary: EDAMAME does not claim to catch prompt injection itself. If poisoned content changes what the agent does, EDAMAME looks for the resulting host-side divergence or attack-pattern evidence.</w:t>
      </w:r>
    </w:p>
    <w:p>
      <w:pPr>
        <w:jc w:val="center"/>
      </w:pPr>
      <w:r>
        <w:drawing>
          <wp:inline xmlns:a="http://schemas.openxmlformats.org/drawingml/2006/main" xmlns:pic="http://schemas.openxmlformats.org/drawingml/2006/picture">
            <wp:extent cx="5257800" cy="2957512"/>
            <wp:docPr id="3" name="Picture 3"/>
            <wp:cNvGraphicFramePr>
              <a:graphicFrameLocks noChangeAspect="1"/>
            </wp:cNvGraphicFramePr>
            <a:graphic>
              <a:graphicData uri="http://schemas.openxmlformats.org/drawingml/2006/picture">
                <pic:pic>
                  <pic:nvPicPr>
                    <pic:cNvPr id="0" name="EDAMAME-runtime-verification-architecture-diagram.png"/>
                    <pic:cNvPicPr/>
                  </pic:nvPicPr>
                  <pic:blipFill>
                    <a:blip r:embed="rId11"/>
                    <a:stretch>
                      <a:fillRect/>
                    </a:stretch>
                  </pic:blipFill>
                  <pic:spPr>
                    <a:xfrm>
                      <a:off x="0" y="0"/>
                      <a:ext cx="5257800" cy="2957512"/>
                    </a:xfrm>
                    <a:prstGeom prst="rect"/>
                  </pic:spPr>
                </pic:pic>
              </a:graphicData>
            </a:graphic>
          </wp:inline>
        </w:drawing>
      </w:r>
    </w:p>
    <w:p>
      <w:pPr>
        <w:spacing w:before="0" w:after="0" w:line="245" w:lineRule="auto"/>
        <w:jc w:val="center"/>
      </w:pPr>
      <w:r>
        <w:rPr>
          <w:rFonts w:ascii="Roboto" w:hAnsi="Roboto" w:eastAsia="Roboto"/>
          <w:b w:val="0"/>
          <w:i/>
          <w:color w:val="525966"/>
          <w:sz w:val="13"/>
        </w:rPr>
        <w:t>Figure 2 — Runtime-verification architecture: declared intent + host telemetry feeding intent divergence and attack-pattern detection.</w:t>
      </w:r>
    </w:p>
    <w:p>
      <w:r>
        <w:br w:type="page"/>
      </w:r>
    </w:p>
    <w:p>
      <w:pPr>
        <w:keepNext/>
        <w:spacing w:before="100" w:after="50" w:line="245" w:lineRule="auto"/>
      </w:pPr>
      <w:r>
        <w:rPr>
          <w:rFonts w:ascii="Roboto Mono" w:hAnsi="Roboto Mono" w:eastAsia="Roboto Mono"/>
          <w:b/>
          <w:i w:val="0"/>
          <w:color w:val="1F1F1F"/>
          <w:sz w:val="31"/>
        </w:rPr>
        <w:t>5 · EDAMAME architecture overview</w:t>
      </w:r>
    </w:p>
    <w:p>
      <w:pPr>
        <w:spacing w:before="0" w:after="20" w:line="245" w:lineRule="auto"/>
      </w:pPr>
      <w:r>
        <w:rPr>
          <w:rFonts w:ascii="Roboto" w:hAnsi="Roboto" w:eastAsia="Roboto"/>
          <w:b w:val="0"/>
          <w:i w:val="0"/>
          <w:color w:val="1F1F1F"/>
          <w:sz w:val="15"/>
        </w:rPr>
        <w:t>EDAMAME applies this model across workstations, CI/CD, and self-hosted agent hosts with a product split that stays simple.</w:t>
      </w:r>
    </w:p>
    <w:tbl>
      <w:tblPr>
        <w:tblW w:type="auto" w:w="0"/>
        <w:jc w:val="center"/>
        <w:tblLayout w:type="autofit"/>
        <w:tblLook w:firstColumn="1" w:firstRow="1" w:lastColumn="0" w:lastRow="0" w:noHBand="0" w:noVBand="1" w:val="04A0"/>
      </w:tblPr>
      <w:tblGrid>
        <w:gridCol w:w="5205"/>
        <w:gridCol w:w="5205"/>
      </w:tblGrid>
      <w:tr>
        <w:tc>
          <w:tcPr>
            <w:tcW w:type="dxa" w:w="252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Layer</w:t>
            </w:r>
          </w:p>
        </w:tc>
        <w:tc>
          <w:tcPr>
            <w:tcW w:type="dxa" w:w="727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Technical role</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Security</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Workstation trust anchor for developers and local devices. Monitors posture drift, divergence, and vulnerability findings during local agent workloads.</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Posture</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CLI and host control surface for runners, servers, and self-hosted agent hosts. Hardens environments before agents operate, then watches runtime evidence.</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Agent integrations</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Cursor, Claude Desktop, Claude Code, Codex, and OpenClaw as named runtime surfaces; agent-native signals complement host telemetry.</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Divergence engine</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Joins captured coding-agent intent with process, filesystem, network, tool-call, and posture telemetry on the host.</w:t>
            </w:r>
          </w:p>
        </w:tc>
      </w:tr>
      <w:tr>
        <w:tc>
          <w:tcPr>
            <w:tcW w:type="dxa" w:w="252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Vulnerability findings engine</w:t>
            </w:r>
          </w:p>
        </w:tc>
        <w:tc>
          <w:tcPr>
            <w:tcW w:type="dxa" w:w="727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Runs CVE-aligned checks on live telemetry for credential harvest, token exfiltration, sandbox exploitation, sensitive-file access, and supply-chain behavior.</w:t>
            </w:r>
          </w:p>
        </w:tc>
      </w:tr>
      <w:tr>
        <w:tc>
          <w:tcPr>
            <w:tcW w:type="dxa" w:w="252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EDAMAME Hub</w:t>
            </w:r>
          </w:p>
        </w:tc>
        <w:tc>
          <w:tcPr>
            <w:tcW w:type="dxa" w:w="727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Surfaces unsecured coding-agent installs across the fleet and gives teams one place to review divergence evidence and vulnerability findings.</w:t>
            </w:r>
          </w:p>
        </w:tc>
      </w:tr>
    </w:tbl>
    <w:p>
      <w:pPr>
        <w:spacing w:after="0"/>
      </w:pPr>
    </w:p>
    <w:p>
      <w:pPr>
        <w:keepNext/>
        <w:spacing w:before="100" w:after="50" w:line="245" w:lineRule="auto"/>
      </w:pPr>
      <w:r>
        <w:rPr>
          <w:rFonts w:ascii="Roboto Mono" w:hAnsi="Roboto Mono" w:eastAsia="Roboto Mono"/>
          <w:b/>
          <w:i w:val="0"/>
          <w:color w:val="1F1F1F"/>
          <w:sz w:val="31"/>
        </w:rPr>
        <w:t>6 · Applying the model on workstations and agent hosts</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Workstations can be monitored for posture drift, divergence, and vulnerability findings during local agent workloads from Cursor, Claude Desktop, Claude Code, or Codex.</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Self-hosted servers and VMs can be hardened with EDAMAME Posture before agents operate, then monitored for credential harvest, token exfiltration, and anomalous process or network behavior.</w:t>
      </w:r>
    </w:p>
    <w:p>
      <w:pPr>
        <w:spacing w:after="20" w:line="240" w:lineRule="auto"/>
        <w:ind w:left="245" w:hanging="187"/>
      </w:pPr>
      <w:r>
        <w:rPr>
          <w:rFonts w:ascii="Roboto" w:hAnsi="Roboto" w:eastAsia="Roboto"/>
          <w:b/>
          <w:i w:val="0"/>
          <w:color w:val="6B9612"/>
          <w:sz w:val="14"/>
        </w:rPr>
        <w:t xml:space="preserve">• </w:t>
      </w:r>
      <w:r>
        <w:rPr>
          <w:rFonts w:ascii="Roboto" w:hAnsi="Roboto" w:eastAsia="Roboto"/>
          <w:b/>
          <w:i w:val="0"/>
          <w:color w:val="1F1F1F"/>
          <w:sz w:val="14"/>
        </w:rPr>
      </w:r>
      <w:r>
        <w:rPr>
          <w:rFonts w:ascii="Roboto" w:hAnsi="Roboto" w:eastAsia="Roboto"/>
          <w:b w:val="0"/>
          <w:i w:val="0"/>
          <w:color w:val="1F1F1F"/>
          <w:sz w:val="14"/>
        </w:rPr>
        <w:t>Agent-side reads of EDAMAME core security signals use the dedicated integration path; host-native ingestion still compares declared intent with host truth directly.</w:t>
      </w:r>
    </w:p>
    <w:p>
      <w:r>
        <w:br w:type="page"/>
      </w:r>
    </w:p>
    <w:p>
      <w:pPr>
        <w:keepNext/>
        <w:spacing w:before="100" w:after="50" w:line="245" w:lineRule="auto"/>
      </w:pPr>
      <w:r>
        <w:rPr>
          <w:rFonts w:ascii="Roboto Mono" w:hAnsi="Roboto Mono" w:eastAsia="Roboto Mono"/>
          <w:b/>
          <w:i w:val="0"/>
          <w:color w:val="1F1F1F"/>
          <w:sz w:val="31"/>
        </w:rPr>
        <w:t>7 · Real-world attack scenarios and response model</w:t>
      </w:r>
    </w:p>
    <w:tbl>
      <w:tblPr>
        <w:tblW w:type="auto" w:w="0"/>
        <w:jc w:val="center"/>
        <w:tblLayout w:type="autofit"/>
        <w:tblLook w:firstColumn="1" w:firstRow="1" w:lastColumn="0" w:lastRow="0" w:noHBand="0" w:noVBand="1" w:val="04A0"/>
      </w:tblPr>
      <w:tblGrid>
        <w:gridCol w:w="5205"/>
        <w:gridCol w:w="5205"/>
      </w:tblGrid>
      <w:tr>
        <w:tc>
          <w:tcPr>
            <w:tcW w:type="dxa" w:w="2880"/>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Scenario</w:t>
            </w:r>
          </w:p>
        </w:tc>
        <w:tc>
          <w:tcPr>
            <w:tcW w:type="dxa" w:w="6912"/>
            <w:shd w:fill="1F1F1F"/>
            <w:tcBorders>
              <w:top w:val="single" w:sz="5" w:space="0" w:color="1F1F1F"/>
              <w:left w:val="single" w:sz="5" w:space="0" w:color="1F1F1F"/>
              <w:bottom w:val="single" w:sz="5" w:space="0" w:color="1F1F1F"/>
              <w:right w:val="single" w:sz="5" w:space="0" w:color="1F1F1F"/>
            </w:tcBorders>
            <w:tcMar>
              <w:top w:w="55" w:type="dxa"/>
              <w:start w:w="70" w:type="dxa"/>
              <w:bottom w:w="55" w:type="dxa"/>
              <w:end w:w="70" w:type="dxa"/>
            </w:tcMar>
          </w:tcPr>
          <w:p>
            <w:r/>
            <w:r>
              <w:rPr>
                <w:rFonts w:ascii="Roboto Mono" w:hAnsi="Roboto Mono" w:eastAsia="Roboto Mono"/>
                <w:b/>
                <w:i w:val="0"/>
                <w:color w:val="FFFFFF"/>
                <w:sz w:val="13"/>
              </w:rPr>
              <w:t>Response model</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Hidden instruction or prompt injection</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Without runtime correlation, the agent keeps using allowed tools, but future actions drift away from the original task. EDAMAME compares unexpected traffic, file access, or process activity against the declared workflow.</w:t>
            </w:r>
          </w:p>
        </w:tc>
      </w:tr>
      <w:tr>
        <w:tc>
          <w:tcPr>
            <w:tcW w:type="dxa" w:w="2880"/>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Compromised workstation or agent host</w:t>
            </w:r>
          </w:p>
        </w:tc>
        <w:tc>
          <w:tcPr>
            <w:tcW w:type="dxa" w:w="6912"/>
            <w:shd w:fill="F3F6F2"/>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Without continuous posture checks, the agent keeps operating on a device or server whose security state has degraded. EDAMAME makes posture changes part of the runtime picture.</w:t>
            </w:r>
          </w:p>
        </w:tc>
      </w:tr>
      <w:tr>
        <w:tc>
          <w:tcPr>
            <w:tcW w:type="dxa" w:w="2880"/>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i w:val="0"/>
                <w:color w:val="1F1F1F"/>
                <w:sz w:val="13"/>
              </w:rPr>
              <w:t>Tool, plugin, or package poisoning</w:t>
            </w:r>
          </w:p>
        </w:tc>
        <w:tc>
          <w:tcPr>
            <w:tcW w:type="dxa" w:w="6912"/>
            <w:shd w:fill="FFFFFF"/>
            <w:tcBorders>
              <w:top w:val="single" w:sz="5" w:space="0" w:color="C9D2C0"/>
              <w:left w:val="single" w:sz="5" w:space="0" w:color="C9D2C0"/>
              <w:bottom w:val="single" w:sz="5" w:space="0" w:color="C9D2C0"/>
              <w:right w:val="single" w:sz="5" w:space="0" w:color="C9D2C0"/>
            </w:tcBorders>
            <w:tcMar>
              <w:top w:w="55" w:type="dxa"/>
              <w:start w:w="70" w:type="dxa"/>
              <w:bottom w:w="55" w:type="dxa"/>
              <w:end w:w="70" w:type="dxa"/>
            </w:tcMar>
            <w:vAlign w:val="top"/>
          </w:tcPr>
          <w:p>
            <w:r/>
            <w:r>
              <w:rPr>
                <w:rFonts w:ascii="Roboto" w:hAnsi="Roboto" w:eastAsia="Roboto"/>
                <w:b w:val="0"/>
                <w:i w:val="0"/>
                <w:color w:val="1F1F1F"/>
                <w:sz w:val="13"/>
              </w:rPr>
              <w:t>A malicious dependency can stay inside an allowed workflow while opening credentials, wallet files, or source material. EDAMAME combines runtime verification with CVE-aligned vulnerability checks.</w:t>
            </w:r>
          </w:p>
        </w:tc>
      </w:tr>
    </w:tbl>
    <w:p>
      <w:pPr>
        <w:spacing w:after="0"/>
      </w:pPr>
    </w:p>
    <w:p>
      <w:pPr>
        <w:keepNext/>
        <w:spacing w:before="100" w:after="50" w:line="245" w:lineRule="auto"/>
      </w:pPr>
      <w:r>
        <w:rPr>
          <w:rFonts w:ascii="Roboto Mono" w:hAnsi="Roboto Mono" w:eastAsia="Roboto Mono"/>
          <w:b/>
          <w:i w:val="0"/>
          <w:color w:val="1F1F1F"/>
          <w:sz w:val="31"/>
        </w:rPr>
        <w:t>8 · Governance, deployment, and operational confidence</w:t>
      </w:r>
    </w:p>
    <w:p>
      <w:pPr>
        <w:spacing w:before="0" w:after="40" w:line="245" w:lineRule="auto"/>
      </w:pPr>
      <w:r>
        <w:rPr>
          <w:rFonts w:ascii="Roboto" w:hAnsi="Roboto" w:eastAsia="Roboto"/>
          <w:b w:val="0"/>
          <w:i w:val="0"/>
          <w:color w:val="1F1F1F"/>
          <w:sz w:val="15"/>
        </w:rPr>
        <w:t>Leaders need evidence about what was allowed, what was observed, and what happened when trust changed. The deployment pattern is direct: start with EDAMAME Security on developer workstations, use EDAMAME Posture on CI/CD runners and self-hosted agent hosts, connect the packaged agent integrations, and use EDAMAME Hub to discover unmanaged coding-agent stacks, correlate hosts, review divergence evidence and vulnerability findings, and keep rollout tied to identities and entitlements.</w:t>
      </w:r>
    </w:p>
    <w:p>
      <w:pPr>
        <w:keepNext/>
        <w:spacing w:before="40" w:after="50" w:line="245" w:lineRule="auto"/>
      </w:pPr>
      <w:r>
        <w:rPr>
          <w:rFonts w:ascii="Roboto Mono" w:hAnsi="Roboto Mono" w:eastAsia="Roboto Mono"/>
          <w:b/>
          <w:i w:val="0"/>
          <w:color w:val="1F1F1F"/>
          <w:sz w:val="22"/>
        </w:rPr>
        <w:t>9 · Scientific and institutional backbone</w:t>
      </w:r>
    </w:p>
    <w:p>
      <w:pPr>
        <w:spacing w:before="0" w:after="40" w:line="245" w:lineRule="auto"/>
      </w:pPr>
      <w:r>
        <w:rPr>
          <w:rFonts w:ascii="Roboto" w:hAnsi="Roboto" w:eastAsia="Roboto"/>
          <w:b w:val="0"/>
          <w:i w:val="0"/>
          <w:color w:val="1F1F1F"/>
          <w:sz w:val="15"/>
        </w:rPr>
        <w:t>The runtime-verification primitive is informed by an ongoing research collaboration with Kave Salamatian, PhD, Professor of Computer Science at the University of Savoie, on verifiable behaviour of autonomous software agents. edamame.tech was founded by Frank Lyonnet, PhD, former researcher at INRIA, and is a member of France DeepTech.</w:t>
      </w:r>
    </w:p>
    <w:p>
      <w:pPr>
        <w:keepNext/>
        <w:spacing w:before="40" w:after="50" w:line="245" w:lineRule="auto"/>
      </w:pPr>
      <w:r>
        <w:rPr>
          <w:rFonts w:ascii="Roboto Mono" w:hAnsi="Roboto Mono" w:eastAsia="Roboto Mono"/>
          <w:b/>
          <w:i w:val="0"/>
          <w:color w:val="1F1F1F"/>
          <w:sz w:val="22"/>
        </w:rPr>
        <w:t>Press contact</w:t>
      </w:r>
    </w:p>
    <w:p>
      <w:pPr>
        <w:spacing w:after="0" w:line="240" w:lineRule="auto"/>
      </w:pPr>
      <w:r>
        <w:rPr>
          <w:rFonts w:ascii="Roboto" w:hAnsi="Roboto" w:eastAsia="Roboto"/>
          <w:b/>
          <w:i w:val="0"/>
          <w:color w:val="1F1F1F"/>
          <w:sz w:val="15"/>
        </w:rPr>
        <w:t xml:space="preserve">Frank Lyonnet, PhD — founder &amp; CEO, edamame.tech · Email: flyonnet@edamame.tech · Phone: +33 6 75 38 30 73 · White paper: </w:t>
      </w:r>
      <w:hyperlink r:id="rId12">
        <w:r>
          <w:rPr>
            <w:color w:val="2F5597"/>
            <w:u w:val="single"/>
            <w:sz w:val="15"/>
            <w:rFonts w:ascii="Roboto" w:hAnsi="Roboto"/>
          </w:rPr>
          <w:t>edamame.tech/agents-wp</w:t>
        </w:r>
      </w:hyperlink>
      <w:r>
        <w:rPr>
          <w:rFonts w:ascii="Roboto" w:hAnsi="Roboto" w:eastAsia="Roboto"/>
          <w:b/>
          <w:i w:val="0"/>
          <w:color w:val="1F1F1F"/>
          <w:sz w:val="15"/>
        </w:rPr>
        <w:t xml:space="preserve"> · Demo: </w:t>
      </w:r>
      <w:hyperlink r:id="rId13">
        <w:r>
          <w:rPr>
            <w:color w:val="2F5597"/>
            <w:u w:val="single"/>
            <w:sz w:val="15"/>
            <w:rFonts w:ascii="Roboto" w:hAnsi="Roboto"/>
          </w:rPr>
          <w:t>YouTube</w:t>
        </w:r>
      </w:hyperlink>
    </w:p>
    <w:p>
      <w:pPr>
        <w:spacing w:before="0" w:after="0" w:line="245" w:lineRule="auto"/>
      </w:pPr>
      <w:r>
        <w:rPr>
          <w:rFonts w:ascii="Roboto" w:hAnsi="Roboto" w:eastAsia="Roboto"/>
          <w:b w:val="0"/>
          <w:i/>
          <w:color w:val="525966"/>
          <w:sz w:val="14"/>
        </w:rPr>
        <w:t>Embargoed until Tuesday 2026-05-26, 13:00 UTC (= 15:00 CEST / 09:00 ET / 06:00 PT).</w:t>
      </w:r>
    </w:p>
    <w:sectPr w:rsidR="00FC693F" w:rsidRPr="0006063C" w:rsidSect="00034616">
      <w:pgSz w:w="11909" w:h="16834"/>
      <w:pgMar w:top="576" w:right="749" w:bottom="547" w:left="749"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Roboto" w:hAnsi="Roboto"/>
      <w:sz w:val="1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rPr>
      <w:rFonts w:ascii="Roboto" w:hAnsi="Roboto"/>
      <w:sz w:val="16"/>
    </w:r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image" Target="media/image2.png"/><Relationship Id="rId11" Type="http://schemas.openxmlformats.org/officeDocument/2006/relationships/image" Target="media/image3.png"/><Relationship Id="rId12" Type="http://schemas.openxmlformats.org/officeDocument/2006/relationships/hyperlink" Target="https://www.edamame.tech/agents-wp?utm_source=press&amp;utm_medium=technical_brief&amp;utm_campaign=runtime_verification_2026q2&amp;utm_content=technical_brief" TargetMode="External"/><Relationship Id="rId13" Type="http://schemas.openxmlformats.org/officeDocument/2006/relationships/hyperlink" Target="https://youtu.be/zAN4u7ImW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2026-05-21T18:34:18Z</dcterms:modified>
  <cp:category/>
</cp:coreProperties>
</file>